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A8C020F" w:rsidR="00F92268" w:rsidRPr="00FF66BF" w:rsidRDefault="00510434" w:rsidP="00F246C7">
            <w:pPr>
              <w:pStyle w:val="RefTableHeader"/>
            </w:pPr>
            <w:r w:rsidRPr="00510434">
              <w:t>2024-A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AE4A2D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8114DA6" w:rsidR="004B15BB" w:rsidRPr="00BD1CC1" w:rsidRDefault="00510434" w:rsidP="007C5A0A">
      <w:pPr>
        <w:pStyle w:val="Heading1"/>
      </w:pPr>
      <w:r w:rsidRPr="00510434">
        <w:t>Specialty Guideline Management</w:t>
      </w:r>
      <w:r w:rsidR="008C54D9" w:rsidRPr="00BD1CC1">
        <w:br/>
      </w:r>
      <w:r>
        <w:t>Eylea</w:t>
      </w:r>
      <w:r w:rsidR="00123DD5">
        <w:t>-</w:t>
      </w:r>
      <w:r>
        <w:t>Eylea HD</w:t>
      </w:r>
    </w:p>
    <w:p w14:paraId="78861C92" w14:textId="298E6098" w:rsidR="00203468" w:rsidRPr="00BD1CC1" w:rsidRDefault="00C64534" w:rsidP="00CA5FB8">
      <w:pPr>
        <w:pStyle w:val="Heading2"/>
        <w:tabs>
          <w:tab w:val="left" w:pos="9900"/>
        </w:tabs>
      </w:pPr>
      <w:r w:rsidRPr="00BD1CC1">
        <w:t xml:space="preserve">Products Referenced by this </w:t>
      </w:r>
      <w:r w:rsidR="00501602" w:rsidRPr="00BD1CC1">
        <w:t>Document</w:t>
      </w:r>
    </w:p>
    <w:p w14:paraId="5455152B" w14:textId="205A4661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E24B6A" w:rsidRPr="00E24B6A">
        <w:t xml:space="preserve">Over-the-counter </w:t>
      </w:r>
      <w:r w:rsidR="00E24B6A">
        <w:t>(</w:t>
      </w:r>
      <w:r w:rsidRPr="00BD1CC1">
        <w:t>OTC</w:t>
      </w:r>
      <w:r w:rsidR="00E24B6A">
        <w:t>)</w:t>
      </w:r>
      <w:r w:rsidRPr="00BD1CC1">
        <w:t xml:space="preserve"> products are not included unless otherwise stated.</w:t>
      </w:r>
    </w:p>
    <w:tbl>
      <w:tblPr>
        <w:tblStyle w:val="TableGrid"/>
        <w:tblW w:w="1068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40"/>
        <w:gridCol w:w="5340"/>
      </w:tblGrid>
      <w:tr w:rsidR="00252CE1" w:rsidRPr="00BD1CC1" w14:paraId="158421F8" w14:textId="77777777" w:rsidTr="00CA5FB8">
        <w:trPr>
          <w:cantSplit/>
          <w:trHeight w:val="288"/>
          <w:tblHeader/>
        </w:trPr>
        <w:tc>
          <w:tcPr>
            <w:tcW w:w="5340" w:type="dxa"/>
            <w:vAlign w:val="center"/>
          </w:tcPr>
          <w:p w14:paraId="2A27354A" w14:textId="1390179E" w:rsidR="00252CE1" w:rsidRPr="00BD1CC1" w:rsidRDefault="00252CE1" w:rsidP="00CA5FB8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340" w:type="dxa"/>
            <w:vAlign w:val="center"/>
          </w:tcPr>
          <w:p w14:paraId="3D342BE1" w14:textId="75F11EF1" w:rsidR="00252CE1" w:rsidRPr="00BD1CC1" w:rsidRDefault="00252CE1" w:rsidP="00CA5FB8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10434" w:rsidRPr="00BD1CC1" w14:paraId="2AD5C02D" w14:textId="77777777" w:rsidTr="00CA5FB8">
        <w:trPr>
          <w:cantSplit/>
        </w:trPr>
        <w:tc>
          <w:tcPr>
            <w:tcW w:w="5340" w:type="dxa"/>
          </w:tcPr>
          <w:p w14:paraId="2D8FA8E3" w14:textId="0798CB40" w:rsidR="00510434" w:rsidRPr="00510434" w:rsidRDefault="00510434" w:rsidP="003B1869">
            <w:pPr>
              <w:pStyle w:val="TableDataUnpadded"/>
              <w:rPr>
                <w:bCs/>
              </w:rPr>
            </w:pPr>
            <w:r w:rsidRPr="00510434">
              <w:rPr>
                <w:bCs/>
              </w:rPr>
              <w:t>Eylea</w:t>
            </w:r>
          </w:p>
        </w:tc>
        <w:tc>
          <w:tcPr>
            <w:tcW w:w="5340" w:type="dxa"/>
          </w:tcPr>
          <w:p w14:paraId="7E26A004" w14:textId="6C43BD85" w:rsidR="00510434" w:rsidRPr="00510434" w:rsidRDefault="00510434" w:rsidP="003B1869">
            <w:pPr>
              <w:pStyle w:val="TableDataUnpadded"/>
              <w:rPr>
                <w:bCs/>
              </w:rPr>
            </w:pPr>
            <w:r w:rsidRPr="00510434">
              <w:rPr>
                <w:bCs/>
              </w:rPr>
              <w:t>aflibercept</w:t>
            </w:r>
          </w:p>
        </w:tc>
      </w:tr>
      <w:tr w:rsidR="00510434" w:rsidRPr="00BD1CC1" w14:paraId="79C2A122" w14:textId="77777777" w:rsidTr="00CA5FB8">
        <w:trPr>
          <w:cantSplit/>
        </w:trPr>
        <w:tc>
          <w:tcPr>
            <w:tcW w:w="5340" w:type="dxa"/>
          </w:tcPr>
          <w:p w14:paraId="08001603" w14:textId="7B02B704" w:rsidR="00510434" w:rsidRPr="00510434" w:rsidRDefault="00510434" w:rsidP="003B1869">
            <w:pPr>
              <w:pStyle w:val="TableDataUnpadded"/>
              <w:rPr>
                <w:bCs/>
              </w:rPr>
            </w:pPr>
            <w:r w:rsidRPr="00510434">
              <w:rPr>
                <w:bCs/>
              </w:rPr>
              <w:t>Eylea HD</w:t>
            </w:r>
          </w:p>
        </w:tc>
        <w:tc>
          <w:tcPr>
            <w:tcW w:w="5340" w:type="dxa"/>
          </w:tcPr>
          <w:p w14:paraId="26C54A5D" w14:textId="1D66BCC4" w:rsidR="00510434" w:rsidRPr="00510434" w:rsidRDefault="00510434" w:rsidP="003B1869">
            <w:pPr>
              <w:pStyle w:val="TableDataUnpadded"/>
              <w:rPr>
                <w:bCs/>
              </w:rPr>
            </w:pPr>
            <w:r w:rsidRPr="00510434">
              <w:rPr>
                <w:bCs/>
              </w:rPr>
              <w:t>aflibercept</w:t>
            </w:r>
          </w:p>
        </w:tc>
      </w:tr>
      <w:tr w:rsidR="00975B2A" w:rsidRPr="00BD1CC1" w14:paraId="61C0B9FD" w14:textId="77777777" w:rsidTr="00CA5FB8">
        <w:trPr>
          <w:cantSplit/>
        </w:trPr>
        <w:tc>
          <w:tcPr>
            <w:tcW w:w="5340" w:type="dxa"/>
          </w:tcPr>
          <w:p w14:paraId="10D3D545" w14:textId="1F0A1A31" w:rsidR="00975B2A" w:rsidRPr="00510434" w:rsidRDefault="00975B2A" w:rsidP="003B1869">
            <w:pPr>
              <w:pStyle w:val="TableDataUnpadded"/>
              <w:rPr>
                <w:bCs/>
              </w:rPr>
            </w:pPr>
            <w:r>
              <w:rPr>
                <w:bCs/>
              </w:rPr>
              <w:t>Ahzantive</w:t>
            </w:r>
          </w:p>
        </w:tc>
        <w:tc>
          <w:tcPr>
            <w:tcW w:w="5340" w:type="dxa"/>
          </w:tcPr>
          <w:p w14:paraId="29A95F7B" w14:textId="3DE3F48B" w:rsidR="00975B2A" w:rsidRPr="00510434" w:rsidRDefault="0062209E" w:rsidP="003B1869">
            <w:pPr>
              <w:pStyle w:val="TableDataUnpadded"/>
              <w:rPr>
                <w:bCs/>
              </w:rPr>
            </w:pPr>
            <w:r w:rsidRPr="00510434">
              <w:rPr>
                <w:bCs/>
              </w:rPr>
              <w:t>aflibercept</w:t>
            </w:r>
            <w:r w:rsidR="00975B2A">
              <w:rPr>
                <w:bCs/>
              </w:rPr>
              <w:t>-mrbb</w:t>
            </w:r>
          </w:p>
        </w:tc>
      </w:tr>
      <w:tr w:rsidR="0062209E" w:rsidRPr="00BD1CC1" w14:paraId="6B8BA64E" w14:textId="77777777" w:rsidTr="00CA5FB8">
        <w:trPr>
          <w:cantSplit/>
        </w:trPr>
        <w:tc>
          <w:tcPr>
            <w:tcW w:w="5340" w:type="dxa"/>
          </w:tcPr>
          <w:p w14:paraId="428A7B3B" w14:textId="21B973E8" w:rsidR="0062209E" w:rsidRPr="00510434" w:rsidRDefault="0062209E" w:rsidP="003B1869">
            <w:pPr>
              <w:pStyle w:val="TableDataUnpadded"/>
              <w:rPr>
                <w:bCs/>
              </w:rPr>
            </w:pPr>
            <w:r>
              <w:rPr>
                <w:bCs/>
              </w:rPr>
              <w:t>Enzeevu</w:t>
            </w:r>
          </w:p>
        </w:tc>
        <w:tc>
          <w:tcPr>
            <w:tcW w:w="5340" w:type="dxa"/>
          </w:tcPr>
          <w:p w14:paraId="55A6655E" w14:textId="1ADC7DDF" w:rsidR="0062209E" w:rsidRPr="00510434" w:rsidRDefault="0062209E" w:rsidP="003B1869">
            <w:pPr>
              <w:pStyle w:val="TableDataUnpadded"/>
              <w:rPr>
                <w:bCs/>
              </w:rPr>
            </w:pPr>
            <w:r w:rsidRPr="00510434">
              <w:rPr>
                <w:bCs/>
              </w:rPr>
              <w:t>aflibercept</w:t>
            </w:r>
            <w:r>
              <w:rPr>
                <w:bCs/>
              </w:rPr>
              <w:t>-</w:t>
            </w:r>
            <w:proofErr w:type="spellStart"/>
            <w:r w:rsidR="00F10DAA">
              <w:rPr>
                <w:bCs/>
              </w:rPr>
              <w:t>abz</w:t>
            </w:r>
            <w:r w:rsidR="007A1442">
              <w:rPr>
                <w:bCs/>
              </w:rPr>
              <w:t>v</w:t>
            </w:r>
            <w:proofErr w:type="spellEnd"/>
          </w:p>
        </w:tc>
      </w:tr>
      <w:tr w:rsidR="00F10DAA" w:rsidRPr="00BD1CC1" w14:paraId="08FAA912" w14:textId="77777777" w:rsidTr="00CA5FB8">
        <w:trPr>
          <w:cantSplit/>
        </w:trPr>
        <w:tc>
          <w:tcPr>
            <w:tcW w:w="5340" w:type="dxa"/>
          </w:tcPr>
          <w:p w14:paraId="089CDA43" w14:textId="3CC2F98F" w:rsidR="00F10DAA" w:rsidRPr="00510434" w:rsidRDefault="00F10DAA" w:rsidP="003B1869">
            <w:pPr>
              <w:pStyle w:val="TableDataUnpadded"/>
              <w:rPr>
                <w:bCs/>
              </w:rPr>
            </w:pPr>
            <w:r>
              <w:rPr>
                <w:bCs/>
              </w:rPr>
              <w:t>Opuviz</w:t>
            </w:r>
          </w:p>
        </w:tc>
        <w:tc>
          <w:tcPr>
            <w:tcW w:w="5340" w:type="dxa"/>
          </w:tcPr>
          <w:p w14:paraId="046DF272" w14:textId="1A26CA89" w:rsidR="00F10DAA" w:rsidRPr="00510434" w:rsidRDefault="00F10DAA" w:rsidP="003B1869">
            <w:pPr>
              <w:pStyle w:val="TableDataUnpadded"/>
              <w:rPr>
                <w:bCs/>
              </w:rPr>
            </w:pPr>
            <w:r w:rsidRPr="00510434">
              <w:rPr>
                <w:bCs/>
              </w:rPr>
              <w:t>aflibercept</w:t>
            </w:r>
            <w:r>
              <w:rPr>
                <w:bCs/>
              </w:rPr>
              <w:t>-yszy</w:t>
            </w:r>
          </w:p>
        </w:tc>
      </w:tr>
      <w:tr w:rsidR="00F10DAA" w:rsidRPr="00BD1CC1" w14:paraId="044245E2" w14:textId="77777777" w:rsidTr="00CA5FB8">
        <w:trPr>
          <w:cantSplit/>
        </w:trPr>
        <w:tc>
          <w:tcPr>
            <w:tcW w:w="5340" w:type="dxa"/>
          </w:tcPr>
          <w:p w14:paraId="109FFFEA" w14:textId="1E1F4013" w:rsidR="00F10DAA" w:rsidRPr="00510434" w:rsidRDefault="00F10DAA" w:rsidP="003B1869">
            <w:pPr>
              <w:pStyle w:val="TableDataUnpadded"/>
              <w:rPr>
                <w:bCs/>
              </w:rPr>
            </w:pPr>
            <w:r>
              <w:rPr>
                <w:bCs/>
              </w:rPr>
              <w:t>Pavblu</w:t>
            </w:r>
          </w:p>
        </w:tc>
        <w:tc>
          <w:tcPr>
            <w:tcW w:w="5340" w:type="dxa"/>
          </w:tcPr>
          <w:p w14:paraId="652980E2" w14:textId="735032E0" w:rsidR="00F10DAA" w:rsidRPr="00510434" w:rsidRDefault="00F10DAA" w:rsidP="003B1869">
            <w:pPr>
              <w:pStyle w:val="TableDataUnpadded"/>
              <w:rPr>
                <w:bCs/>
              </w:rPr>
            </w:pPr>
            <w:r w:rsidRPr="00510434">
              <w:rPr>
                <w:bCs/>
              </w:rPr>
              <w:t>aflibercept</w:t>
            </w:r>
            <w:r>
              <w:rPr>
                <w:bCs/>
              </w:rPr>
              <w:t>-ayyh</w:t>
            </w:r>
          </w:p>
        </w:tc>
      </w:tr>
      <w:tr w:rsidR="00F10DAA" w:rsidRPr="00BD1CC1" w14:paraId="69589791" w14:textId="77777777" w:rsidTr="00CA5FB8">
        <w:trPr>
          <w:cantSplit/>
        </w:trPr>
        <w:tc>
          <w:tcPr>
            <w:tcW w:w="5340" w:type="dxa"/>
          </w:tcPr>
          <w:p w14:paraId="4FF538DD" w14:textId="17D5A011" w:rsidR="00F10DAA" w:rsidRPr="00510434" w:rsidRDefault="00B86AFE" w:rsidP="003B1869">
            <w:pPr>
              <w:pStyle w:val="TableDataUnpadded"/>
              <w:rPr>
                <w:bCs/>
              </w:rPr>
            </w:pPr>
            <w:proofErr w:type="spellStart"/>
            <w:r>
              <w:rPr>
                <w:bCs/>
              </w:rPr>
              <w:t>Y</w:t>
            </w:r>
            <w:r w:rsidR="00F10DAA">
              <w:rPr>
                <w:bCs/>
              </w:rPr>
              <w:t>esafili</w:t>
            </w:r>
            <w:proofErr w:type="spellEnd"/>
          </w:p>
        </w:tc>
        <w:tc>
          <w:tcPr>
            <w:tcW w:w="5340" w:type="dxa"/>
          </w:tcPr>
          <w:p w14:paraId="0D935CB7" w14:textId="796A6DA9" w:rsidR="00F10DAA" w:rsidRPr="00510434" w:rsidRDefault="00F10DAA" w:rsidP="003B1869">
            <w:pPr>
              <w:pStyle w:val="TableDataUnpadded"/>
              <w:rPr>
                <w:bCs/>
              </w:rPr>
            </w:pPr>
            <w:r w:rsidRPr="00510434">
              <w:rPr>
                <w:bCs/>
              </w:rPr>
              <w:t>aflibercept</w:t>
            </w:r>
            <w:r>
              <w:rPr>
                <w:bCs/>
              </w:rPr>
              <w:t>-</w:t>
            </w:r>
            <w:proofErr w:type="spellStart"/>
            <w:r w:rsidR="001A27C6">
              <w:rPr>
                <w:bCs/>
              </w:rPr>
              <w:t>jb</w:t>
            </w:r>
            <w:r w:rsidR="007A1442">
              <w:rPr>
                <w:bCs/>
              </w:rPr>
              <w:t>v</w:t>
            </w:r>
            <w:r w:rsidR="001A27C6">
              <w:rPr>
                <w:bCs/>
              </w:rPr>
              <w:t>f</w:t>
            </w:r>
            <w:proofErr w:type="spellEnd"/>
          </w:p>
        </w:tc>
      </w:tr>
    </w:tbl>
    <w:bookmarkEnd w:id="0"/>
    <w:p w14:paraId="14CE6108" w14:textId="10F179C1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04C01464" w14:textId="71313AC5" w:rsidR="00510434" w:rsidRPr="00510434" w:rsidRDefault="00510434" w:rsidP="00510434">
      <w:pPr>
        <w:pStyle w:val="BodyText"/>
      </w:pPr>
      <w:r w:rsidRPr="00510434">
        <w:t>The indications below including FDA-approved indications and compendial uses are considered a covered benefit provided that all the approval criteria are met and the member has no exclusions to the prescribed therapy</w:t>
      </w:r>
      <w:r w:rsidR="007C6BCC">
        <w:t>.</w:t>
      </w:r>
    </w:p>
    <w:p w14:paraId="134B5687" w14:textId="42CC69EF" w:rsidR="00ED052F" w:rsidRPr="00CA5FB8" w:rsidRDefault="00ED052F" w:rsidP="00CA5FB8">
      <w:pPr>
        <w:pStyle w:val="Heading3"/>
        <w:rPr>
          <w:vertAlign w:val="superscript"/>
        </w:rPr>
      </w:pPr>
      <w:r w:rsidRPr="00BD1CC1">
        <w:t>FDA-approved Indications</w:t>
      </w:r>
      <w:r w:rsidR="007C5A0A" w:rsidRPr="007C5A0A">
        <w:rPr>
          <w:vertAlign w:val="superscript"/>
        </w:rPr>
        <w:t>1,</w:t>
      </w:r>
      <w:r w:rsidR="00A92F38" w:rsidRPr="00A92F38">
        <w:rPr>
          <w:vertAlign w:val="superscript"/>
        </w:rPr>
        <w:t>2,6,7,8,9,10</w:t>
      </w:r>
    </w:p>
    <w:p w14:paraId="4348161C" w14:textId="77777777" w:rsidR="00510434" w:rsidRPr="00510434" w:rsidRDefault="00510434" w:rsidP="003B1869">
      <w:pPr>
        <w:pStyle w:val="BodyText"/>
        <w:rPr>
          <w:u w:val="single"/>
        </w:rPr>
      </w:pPr>
      <w:bookmarkStart w:id="1" w:name="_Hlk143595241"/>
      <w:r w:rsidRPr="00510434">
        <w:t>Eylea is indicated for the treatment of:</w:t>
      </w:r>
    </w:p>
    <w:p w14:paraId="3F8510E8" w14:textId="77777777" w:rsidR="00510434" w:rsidRPr="00510434" w:rsidRDefault="00510434" w:rsidP="00CA5FB8">
      <w:pPr>
        <w:pStyle w:val="ListParagraph"/>
        <w:rPr>
          <w:u w:val="single"/>
        </w:rPr>
      </w:pPr>
      <w:r w:rsidRPr="00510434">
        <w:t>Diabetic macular edema</w:t>
      </w:r>
    </w:p>
    <w:p w14:paraId="6EE65ADC" w14:textId="77777777" w:rsidR="00510434" w:rsidRPr="00510434" w:rsidRDefault="00510434" w:rsidP="00CA5FB8">
      <w:pPr>
        <w:pStyle w:val="ListParagraph"/>
      </w:pPr>
      <w:r w:rsidRPr="00510434">
        <w:t>Diabetic retinopathy</w:t>
      </w:r>
    </w:p>
    <w:p w14:paraId="1638AE2C" w14:textId="77777777" w:rsidR="00510434" w:rsidRPr="00510434" w:rsidRDefault="00510434" w:rsidP="00CA5FB8">
      <w:pPr>
        <w:pStyle w:val="ListParagraph"/>
        <w:rPr>
          <w:u w:val="single"/>
        </w:rPr>
      </w:pPr>
      <w:r w:rsidRPr="00510434">
        <w:rPr>
          <w:bCs/>
        </w:rPr>
        <w:t>Neovascular (wet) age-related macular degeneration</w:t>
      </w:r>
    </w:p>
    <w:bookmarkEnd w:id="1"/>
    <w:p w14:paraId="177E9864" w14:textId="77777777" w:rsidR="00510434" w:rsidRPr="00510434" w:rsidRDefault="00510434" w:rsidP="00CA5FB8">
      <w:pPr>
        <w:pStyle w:val="ListParagraph"/>
        <w:rPr>
          <w:u w:val="single"/>
        </w:rPr>
      </w:pPr>
      <w:r w:rsidRPr="00510434">
        <w:t>Macular edema following retinal vein occlusion</w:t>
      </w:r>
    </w:p>
    <w:p w14:paraId="62F0E310" w14:textId="027C2094" w:rsidR="00510434" w:rsidRPr="00510434" w:rsidRDefault="00510434" w:rsidP="00CA5FB8">
      <w:pPr>
        <w:pStyle w:val="ListParagraph"/>
        <w:rPr>
          <w:u w:val="single"/>
        </w:rPr>
      </w:pPr>
      <w:r w:rsidRPr="00510434">
        <w:t>Retinopathy of Prematurity</w:t>
      </w:r>
    </w:p>
    <w:p w14:paraId="4E43D107" w14:textId="77777777" w:rsidR="00510434" w:rsidRPr="00510434" w:rsidRDefault="00510434" w:rsidP="003B1869">
      <w:pPr>
        <w:pStyle w:val="BodyText"/>
        <w:rPr>
          <w:u w:val="single"/>
        </w:rPr>
      </w:pPr>
      <w:r w:rsidRPr="00510434">
        <w:lastRenderedPageBreak/>
        <w:t>Eylea HD is indicated for the treatment of:</w:t>
      </w:r>
    </w:p>
    <w:p w14:paraId="1AB6C8D2" w14:textId="77777777" w:rsidR="00510434" w:rsidRPr="00510434" w:rsidRDefault="00510434" w:rsidP="00CA5FB8">
      <w:pPr>
        <w:pStyle w:val="ListParagraph"/>
        <w:rPr>
          <w:u w:val="single"/>
        </w:rPr>
      </w:pPr>
      <w:r w:rsidRPr="00510434">
        <w:t>Diabetic macular edema</w:t>
      </w:r>
    </w:p>
    <w:p w14:paraId="7142DA81" w14:textId="77777777" w:rsidR="00510434" w:rsidRPr="00510434" w:rsidRDefault="00510434" w:rsidP="00CA5FB8">
      <w:pPr>
        <w:pStyle w:val="ListParagraph"/>
      </w:pPr>
      <w:r w:rsidRPr="00510434">
        <w:t>Diabetic retinopathy</w:t>
      </w:r>
    </w:p>
    <w:p w14:paraId="31A1BFED" w14:textId="4C694AE5" w:rsidR="00510434" w:rsidRPr="00510434" w:rsidRDefault="00510434" w:rsidP="00CA5FB8">
      <w:pPr>
        <w:pStyle w:val="ListParagraph"/>
        <w:rPr>
          <w:u w:val="single"/>
        </w:rPr>
      </w:pPr>
      <w:r w:rsidRPr="00510434">
        <w:rPr>
          <w:bCs/>
        </w:rPr>
        <w:t>Neovascular (wet) age-related macular degeneration</w:t>
      </w:r>
    </w:p>
    <w:p w14:paraId="5A78BE94" w14:textId="77777777" w:rsidR="004E416B" w:rsidRDefault="004E416B" w:rsidP="00CA5FB8">
      <w:pPr>
        <w:pStyle w:val="BodyText"/>
      </w:pPr>
      <w:bookmarkStart w:id="2" w:name="_Hlk167198197"/>
      <w:r>
        <w:t>Ahzantive, Opuviz, Pavblu and Yesafili are indicated for the treatment of:</w:t>
      </w:r>
    </w:p>
    <w:p w14:paraId="65340CA1" w14:textId="77777777" w:rsidR="004E416B" w:rsidRPr="00FC25A7" w:rsidRDefault="004E416B" w:rsidP="00CA5FB8">
      <w:pPr>
        <w:pStyle w:val="ListParagraph"/>
        <w:rPr>
          <w:u w:val="single"/>
        </w:rPr>
      </w:pPr>
      <w:r w:rsidRPr="00FC25A7">
        <w:t>Diabetic macular edema</w:t>
      </w:r>
    </w:p>
    <w:p w14:paraId="18D566AA" w14:textId="77777777" w:rsidR="004E416B" w:rsidRPr="009021D4" w:rsidRDefault="004E416B" w:rsidP="00CA5FB8">
      <w:pPr>
        <w:pStyle w:val="ListParagraph"/>
      </w:pPr>
      <w:r w:rsidRPr="009021D4">
        <w:t>Diabetic retinopathy</w:t>
      </w:r>
    </w:p>
    <w:p w14:paraId="4DD049FE" w14:textId="77777777" w:rsidR="004E416B" w:rsidRPr="000A07BA" w:rsidRDefault="004E416B" w:rsidP="00CA5FB8">
      <w:pPr>
        <w:pStyle w:val="ListParagraph"/>
        <w:rPr>
          <w:u w:val="single"/>
        </w:rPr>
      </w:pPr>
      <w:r w:rsidRPr="000A07BA">
        <w:rPr>
          <w:bCs/>
        </w:rPr>
        <w:t>Neovascular (wet) age-related macular degeneration</w:t>
      </w:r>
    </w:p>
    <w:p w14:paraId="6401D771" w14:textId="470C50E2" w:rsidR="004E416B" w:rsidRDefault="004E416B" w:rsidP="00CA5FB8">
      <w:pPr>
        <w:pStyle w:val="ListParagraph"/>
      </w:pPr>
      <w:r w:rsidRPr="000A07BA">
        <w:t>Macular edema following retinal vein occlusion</w:t>
      </w:r>
      <w:bookmarkEnd w:id="2"/>
    </w:p>
    <w:p w14:paraId="35B2FBB8" w14:textId="22F964B3" w:rsidR="004E416B" w:rsidRDefault="004E416B" w:rsidP="00CA5FB8">
      <w:pPr>
        <w:pStyle w:val="BodyText"/>
      </w:pPr>
      <w:r>
        <w:t>Enzeevu is indicated for the treatment of:</w:t>
      </w:r>
    </w:p>
    <w:p w14:paraId="2E6F8A60" w14:textId="77777777" w:rsidR="004E416B" w:rsidRPr="00B25FA6" w:rsidRDefault="004E416B" w:rsidP="00CA5FB8">
      <w:pPr>
        <w:pStyle w:val="ListParagraph"/>
      </w:pPr>
      <w:r>
        <w:t>N</w:t>
      </w:r>
      <w:r w:rsidRPr="00B25FA6">
        <w:t>eovascular (wet) age-related macular degeneration</w:t>
      </w:r>
    </w:p>
    <w:p w14:paraId="0D5A9DD5" w14:textId="6243F79C" w:rsidR="009A5649" w:rsidRPr="00510434" w:rsidRDefault="00510434" w:rsidP="003B1869">
      <w:pPr>
        <w:pStyle w:val="BodyText"/>
        <w:rPr>
          <w:rFonts w:eastAsia="Arial"/>
        </w:rPr>
      </w:pPr>
      <w:r w:rsidRPr="00510434">
        <w:t xml:space="preserve">All other indications are </w:t>
      </w:r>
      <w:r w:rsidRPr="007C5A0A">
        <w:t>considered</w:t>
      </w:r>
      <w:r w:rsidRPr="00510434">
        <w:t xml:space="preserve"> experimental/investigational and not medically necessary.</w:t>
      </w:r>
    </w:p>
    <w:p w14:paraId="0FA3C28C" w14:textId="540DDA74" w:rsidR="00C40AD3" w:rsidRDefault="00D8623E" w:rsidP="00C40AD3">
      <w:pPr>
        <w:pStyle w:val="Heading2"/>
      </w:pPr>
      <w:r>
        <w:t xml:space="preserve">Coverage </w:t>
      </w:r>
      <w:r w:rsidR="006C212D" w:rsidRPr="006C212D">
        <w:t>Criteria</w:t>
      </w:r>
    </w:p>
    <w:p w14:paraId="564357C1" w14:textId="490C3222" w:rsidR="006C212D" w:rsidRPr="006C212D" w:rsidRDefault="006C212D" w:rsidP="003B1869">
      <w:pPr>
        <w:pStyle w:val="Heading3"/>
      </w:pPr>
      <w:r w:rsidRPr="006C212D">
        <w:t xml:space="preserve">Diabetic </w:t>
      </w:r>
      <w:r w:rsidRPr="003B1869">
        <w:t>Macular</w:t>
      </w:r>
      <w:r w:rsidRPr="006C212D">
        <w:t xml:space="preserve"> Edema</w:t>
      </w:r>
      <w:r w:rsidRPr="006C212D">
        <w:rPr>
          <w:vertAlign w:val="superscript"/>
        </w:rPr>
        <w:t>1,2,4</w:t>
      </w:r>
      <w:r w:rsidR="00D148EE">
        <w:rPr>
          <w:vertAlign w:val="superscript"/>
        </w:rPr>
        <w:t>,6-8,10</w:t>
      </w:r>
    </w:p>
    <w:p w14:paraId="086E510B" w14:textId="112759CD" w:rsidR="006C212D" w:rsidRPr="006C212D" w:rsidRDefault="006C212D" w:rsidP="003B1869">
      <w:pPr>
        <w:pStyle w:val="BodyText"/>
      </w:pPr>
      <w:r w:rsidRPr="003B1869">
        <w:t>Authorization</w:t>
      </w:r>
      <w:r w:rsidRPr="006C212D">
        <w:t xml:space="preserve"> of 6 months may be granted for treatment of diabetic macular edema.</w:t>
      </w:r>
    </w:p>
    <w:p w14:paraId="0B27C1D4" w14:textId="4A63944D" w:rsidR="006C212D" w:rsidRPr="006C212D" w:rsidRDefault="006C212D" w:rsidP="003B1869">
      <w:pPr>
        <w:pStyle w:val="Heading3"/>
      </w:pPr>
      <w:r w:rsidRPr="006C212D">
        <w:t>Diabetic Retinopathy</w:t>
      </w:r>
      <w:r w:rsidRPr="006C212D">
        <w:rPr>
          <w:vertAlign w:val="superscript"/>
        </w:rPr>
        <w:t>1,2,4</w:t>
      </w:r>
      <w:r w:rsidR="00D148EE">
        <w:rPr>
          <w:vertAlign w:val="superscript"/>
        </w:rPr>
        <w:t>,6-8,10</w:t>
      </w:r>
    </w:p>
    <w:p w14:paraId="31D011A8" w14:textId="1C7969B2" w:rsidR="006C212D" w:rsidRPr="006C212D" w:rsidRDefault="006C212D" w:rsidP="003B1869">
      <w:pPr>
        <w:pStyle w:val="BodyText"/>
      </w:pPr>
      <w:r w:rsidRPr="003B1869">
        <w:t>Authorization</w:t>
      </w:r>
      <w:r w:rsidRPr="006C212D">
        <w:t xml:space="preserve"> of 6 months may be granted for treatment of diabetic retinopathy.</w:t>
      </w:r>
    </w:p>
    <w:p w14:paraId="16423765" w14:textId="1F67CED2" w:rsidR="006C212D" w:rsidRPr="006C212D" w:rsidRDefault="006C212D" w:rsidP="003B1869">
      <w:pPr>
        <w:pStyle w:val="Heading3"/>
      </w:pPr>
      <w:r w:rsidRPr="003B1869">
        <w:t>Neovascular</w:t>
      </w:r>
      <w:r w:rsidRPr="006C212D">
        <w:t xml:space="preserve"> (Wet) Age-Related Macular Degeneration</w:t>
      </w:r>
      <w:r w:rsidRPr="006C212D">
        <w:rPr>
          <w:vertAlign w:val="superscript"/>
        </w:rPr>
        <w:t>1-3</w:t>
      </w:r>
      <w:r w:rsidR="00D148EE">
        <w:rPr>
          <w:vertAlign w:val="superscript"/>
        </w:rPr>
        <w:t>,6-10</w:t>
      </w:r>
    </w:p>
    <w:p w14:paraId="7D695AD2" w14:textId="7780146D" w:rsidR="006C212D" w:rsidRPr="006C212D" w:rsidRDefault="006C212D" w:rsidP="003B1869">
      <w:pPr>
        <w:pStyle w:val="BodyText"/>
      </w:pPr>
      <w:r w:rsidRPr="003B1869">
        <w:t>Authorization</w:t>
      </w:r>
      <w:r w:rsidRPr="006C212D">
        <w:t xml:space="preserve"> of 6 months may be granted for treatment of neovascular (wet) age-related macular degeneration.</w:t>
      </w:r>
    </w:p>
    <w:p w14:paraId="4DCE307C" w14:textId="6E34EF65" w:rsidR="006C212D" w:rsidRPr="006C212D" w:rsidRDefault="006C212D" w:rsidP="003B1869">
      <w:pPr>
        <w:pStyle w:val="Heading3"/>
      </w:pPr>
      <w:r w:rsidRPr="006C212D">
        <w:t xml:space="preserve">Macular Edema Following Retinal Vein Occlusion (Eylea </w:t>
      </w:r>
      <w:r w:rsidR="004E416B">
        <w:t xml:space="preserve">and Biosimilars </w:t>
      </w:r>
      <w:r w:rsidRPr="006C212D">
        <w:t>Only)</w:t>
      </w:r>
      <w:r w:rsidRPr="006C212D">
        <w:rPr>
          <w:vertAlign w:val="superscript"/>
        </w:rPr>
        <w:t>1,5</w:t>
      </w:r>
      <w:r w:rsidR="00D148EE">
        <w:rPr>
          <w:vertAlign w:val="superscript"/>
        </w:rPr>
        <w:t>-8,10</w:t>
      </w:r>
    </w:p>
    <w:p w14:paraId="4218E6ED" w14:textId="2C159435" w:rsidR="006C212D" w:rsidRPr="006C212D" w:rsidRDefault="006C212D" w:rsidP="003B1869">
      <w:pPr>
        <w:pStyle w:val="BodyText"/>
      </w:pPr>
      <w:r w:rsidRPr="006C212D">
        <w:t>Authorization of 6 months may be granted for treatment of macular edema following retinal vein occlusion.</w:t>
      </w:r>
    </w:p>
    <w:p w14:paraId="505FFA52" w14:textId="60844D63" w:rsidR="006C212D" w:rsidRPr="006C212D" w:rsidRDefault="006C212D" w:rsidP="003B1869">
      <w:pPr>
        <w:pStyle w:val="Heading3"/>
      </w:pPr>
      <w:r w:rsidRPr="006C212D">
        <w:t>Retinopathy of Prematurity (Eylea</w:t>
      </w:r>
      <w:r w:rsidR="004E416B">
        <w:t xml:space="preserve"> and </w:t>
      </w:r>
      <w:r w:rsidR="004E416B" w:rsidRPr="003B1869">
        <w:t>Biosimilars</w:t>
      </w:r>
      <w:r w:rsidRPr="006C212D">
        <w:t xml:space="preserve"> Only)</w:t>
      </w:r>
      <w:r w:rsidRPr="006C212D">
        <w:rPr>
          <w:vertAlign w:val="superscript"/>
        </w:rPr>
        <w:t>1</w:t>
      </w:r>
    </w:p>
    <w:p w14:paraId="01DB5472" w14:textId="2F684523" w:rsidR="006C212D" w:rsidRPr="006C212D" w:rsidRDefault="006C212D" w:rsidP="003B1869">
      <w:pPr>
        <w:pStyle w:val="BodyText"/>
      </w:pPr>
      <w:r w:rsidRPr="006C212D">
        <w:t xml:space="preserve">Authorization of 6 months may be granted for treatment of retinopathy of </w:t>
      </w:r>
      <w:r w:rsidRPr="003B1869">
        <w:t>prematurity</w:t>
      </w:r>
      <w:r w:rsidR="007C6BCC">
        <w:t>.</w:t>
      </w:r>
    </w:p>
    <w:p w14:paraId="3A643EC3" w14:textId="09759D64" w:rsidR="00A501AC" w:rsidRPr="00BD1CC1" w:rsidRDefault="00A501AC" w:rsidP="00A501AC">
      <w:pPr>
        <w:pStyle w:val="Heading2"/>
      </w:pPr>
      <w:r w:rsidRPr="00BD1CC1">
        <w:t>Continuation of Therapy</w:t>
      </w:r>
    </w:p>
    <w:p w14:paraId="5C513946" w14:textId="079C8D24" w:rsidR="00474D80" w:rsidRPr="003B1869" w:rsidRDefault="006C212D" w:rsidP="003B1869">
      <w:pPr>
        <w:pStyle w:val="BodyText"/>
      </w:pPr>
      <w:r w:rsidRPr="003B1869">
        <w:t xml:space="preserve">Authorization of 12 months may be granted for continued treatment in members requesting reauthorization for an indication listed in </w:t>
      </w:r>
      <w:r w:rsidR="009019DA" w:rsidRPr="003B1869">
        <w:t>the coverage criteria section</w:t>
      </w:r>
      <w:r w:rsidRPr="003B1869">
        <w:t xml:space="preserve"> when the member has demonstrated a positive clinical response to therapy (e.g., improvement or maintenance in best corrected visual acuity [BCVA] or visual field, or a reduction in the rate of vision decline or the risk of more severe vision loss</w:t>
      </w:r>
      <w:r w:rsidR="003F4124" w:rsidRPr="003B1869">
        <w:t>).</w:t>
      </w:r>
    </w:p>
    <w:p w14:paraId="10DA4309" w14:textId="59186CF2" w:rsidR="00FF66BF" w:rsidRPr="008D1B34" w:rsidRDefault="00FF66BF" w:rsidP="00FF66BF">
      <w:pPr>
        <w:pStyle w:val="Heading2"/>
      </w:pPr>
      <w:r w:rsidRPr="008D1B34">
        <w:t>References</w:t>
      </w:r>
    </w:p>
    <w:p w14:paraId="1F54E200" w14:textId="6CD23D2B" w:rsidR="006C212D" w:rsidRDefault="006C212D" w:rsidP="00893778">
      <w:pPr>
        <w:pStyle w:val="ReferenceOrdered"/>
      </w:pPr>
      <w:r>
        <w:t xml:space="preserve">Eylea [package insert]. Tarrytown, NY: Regeneron Pharmaceuticals, Inc.;  </w:t>
      </w:r>
      <w:r w:rsidR="00B86AFE">
        <w:t xml:space="preserve">October </w:t>
      </w:r>
      <w:r>
        <w:t>202</w:t>
      </w:r>
      <w:r w:rsidR="00B86AFE">
        <w:t>4</w:t>
      </w:r>
      <w:r>
        <w:t>.</w:t>
      </w:r>
    </w:p>
    <w:p w14:paraId="166ED113" w14:textId="7A7FF779" w:rsidR="006C212D" w:rsidRDefault="006C212D" w:rsidP="00893778">
      <w:pPr>
        <w:pStyle w:val="ReferenceOrdered"/>
      </w:pPr>
      <w:r>
        <w:t xml:space="preserve">Eylea HD [package insert]. Tarrytown, NY: Regeneron Pharmaceuticals, Inc.; </w:t>
      </w:r>
      <w:r w:rsidR="00B86AFE">
        <w:t>October</w:t>
      </w:r>
      <w:r>
        <w:t xml:space="preserve"> 202</w:t>
      </w:r>
      <w:r w:rsidR="00B86AFE">
        <w:t>4</w:t>
      </w:r>
      <w:r>
        <w:t>.</w:t>
      </w:r>
    </w:p>
    <w:p w14:paraId="34578CC9" w14:textId="6387461E" w:rsidR="006C212D" w:rsidRDefault="006C212D" w:rsidP="00893778">
      <w:pPr>
        <w:pStyle w:val="ReferenceOrdered"/>
      </w:pPr>
      <w:r>
        <w:t>American Academy of Ophthalmology Retinal/Vitreous Panel.  Preferred Practice Pattern® Guidelines. Age-Related Macular Degeneration. San Francisco, CA: American Academy of Ophthalmology; 2019. Available at: https://www.aao.org/preferred-practice-pattern/age-related-macular-degeneration-ppp.</w:t>
      </w:r>
    </w:p>
    <w:p w14:paraId="1DC0CE6B" w14:textId="5799CD1B" w:rsidR="006C212D" w:rsidRDefault="006C212D" w:rsidP="00893778">
      <w:pPr>
        <w:pStyle w:val="ReferenceOrdered"/>
      </w:pPr>
      <w:r>
        <w:t>American Academy of Ophthalmology Retinal/Vitreous Panel.  Preferred Practice Pattern® Guidelines. Diabetic Retinopathy. San Francisco, CA: American Academy of Ophthalmology; 2019.  Available at: https://www.aao.org/preferred-practice-pattern/diabetic-retinopathy-ppp.</w:t>
      </w:r>
    </w:p>
    <w:p w14:paraId="26E25A0F" w14:textId="6F96EF9E" w:rsidR="00FF66BF" w:rsidRDefault="006C212D" w:rsidP="00893778">
      <w:pPr>
        <w:pStyle w:val="ReferenceOrdered"/>
      </w:pPr>
      <w:r>
        <w:t>American Academy of Ophthalmology Retinal/Vitreous Panel.  Preferred Practice Pattern® Guidelines. Retinal Vein Occlusions. San Francisco, CA: American Academy of Ophthalmology; 2019. Available at: https://www.aao.org/preferred-practice-pattern/retinal-vein-occlusions-ppp.</w:t>
      </w:r>
    </w:p>
    <w:p w14:paraId="31A408CD" w14:textId="1A45E27B" w:rsidR="0030541B" w:rsidRDefault="0030541B" w:rsidP="0030541B">
      <w:pPr>
        <w:pStyle w:val="ReferenceOrdered"/>
      </w:pPr>
      <w:bookmarkStart w:id="3" w:name="_Hlk167198373"/>
      <w:r>
        <w:t>Opuviz [package insert]. Cambridge, MA: Biogen MA Inc.; May 2024.</w:t>
      </w:r>
    </w:p>
    <w:p w14:paraId="7CF26C85" w14:textId="060E568A" w:rsidR="0030541B" w:rsidRDefault="0030541B" w:rsidP="0030541B">
      <w:pPr>
        <w:pStyle w:val="ReferenceOrdered"/>
      </w:pPr>
      <w:r>
        <w:t xml:space="preserve">Yesafili [package insert]. </w:t>
      </w:r>
      <w:r w:rsidR="007A1442">
        <w:t>Cambridge</w:t>
      </w:r>
      <w:r>
        <w:t>, MA: Biocon Biologics Inc.; May 2024.</w:t>
      </w:r>
    </w:p>
    <w:p w14:paraId="7B3A3887" w14:textId="77777777" w:rsidR="0030541B" w:rsidRPr="001E0DC6" w:rsidRDefault="0030541B" w:rsidP="0030541B">
      <w:pPr>
        <w:pStyle w:val="ReferenceOrdered"/>
      </w:pPr>
      <w:r>
        <w:t xml:space="preserve">Ahzantive [package insert]. </w:t>
      </w:r>
      <w:r w:rsidRPr="001D35FC">
        <w:t>Martinsried/Planegg</w:t>
      </w:r>
      <w:r>
        <w:t>, Germany: Formycon AG; June 2024.</w:t>
      </w:r>
    </w:p>
    <w:p w14:paraId="039789F5" w14:textId="6F1A950B" w:rsidR="0030541B" w:rsidRDefault="0030541B" w:rsidP="0030541B">
      <w:pPr>
        <w:pStyle w:val="ReferenceOrdered"/>
      </w:pPr>
      <w:r>
        <w:t>Enzeevu [package insert]. Princeton, NJ: Sandoz Inc.; August 2024.</w:t>
      </w:r>
    </w:p>
    <w:p w14:paraId="5FB84E70" w14:textId="17BF4E3F" w:rsidR="0030541B" w:rsidRPr="00B86AFE" w:rsidRDefault="0030541B" w:rsidP="00CA5FB8">
      <w:pPr>
        <w:pStyle w:val="ReferenceOrdered"/>
      </w:pPr>
      <w:r>
        <w:t>Pavblu [package insert]. Thousand Oaks, CA: Amgen, Inc.; August 2024.</w:t>
      </w:r>
      <w:bookmarkEnd w:id="3"/>
    </w:p>
    <w:sectPr w:rsidR="0030541B" w:rsidRPr="00B86AFE" w:rsidSect="00CA5FB8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FDE26" w14:textId="77777777" w:rsidR="004C0428" w:rsidRDefault="004C0428">
      <w:r>
        <w:separator/>
      </w:r>
    </w:p>
  </w:endnote>
  <w:endnote w:type="continuationSeparator" w:id="0">
    <w:p w14:paraId="42753976" w14:textId="77777777" w:rsidR="004C0428" w:rsidRDefault="004C0428">
      <w:r>
        <w:continuationSeparator/>
      </w:r>
    </w:p>
  </w:endnote>
  <w:endnote w:type="continuationNotice" w:id="1">
    <w:p w14:paraId="3F208852" w14:textId="77777777" w:rsidR="004C0428" w:rsidRDefault="004C04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AB8C566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9524A" w:rsidRPr="0059524A">
      <w:rPr>
        <w:rFonts w:cs="Arial"/>
        <w:noProof/>
        <w:sz w:val="16"/>
        <w:szCs w:val="16"/>
      </w:rPr>
      <w:t>Eylea-Eylea</w:t>
    </w:r>
    <w:r w:rsidR="0059524A">
      <w:rPr>
        <w:rFonts w:cs="Arial"/>
        <w:noProof/>
        <w:snapToGrid w:val="0"/>
        <w:color w:val="000000"/>
        <w:sz w:val="16"/>
        <w:szCs w:val="16"/>
      </w:rPr>
      <w:t xml:space="preserve"> HD and</w:t>
    </w:r>
    <w:r w:rsidR="0059524A" w:rsidRPr="0059524A">
      <w:rPr>
        <w:rFonts w:cs="Arial"/>
        <w:noProof/>
        <w:sz w:val="16"/>
        <w:szCs w:val="16"/>
      </w:rPr>
      <w:t xml:space="preserve"> Biosimilars</w:t>
    </w:r>
    <w:r w:rsidR="0059524A">
      <w:rPr>
        <w:rFonts w:cs="Arial"/>
        <w:noProof/>
        <w:snapToGrid w:val="0"/>
        <w:color w:val="000000"/>
        <w:sz w:val="16"/>
        <w:szCs w:val="16"/>
      </w:rPr>
      <w:t xml:space="preserve"> SGM 2024-A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CE5405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E4FDEF5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F941A8" w:rsidR="00F75C81" w:rsidRPr="00AA1E6A" w:rsidRDefault="00C36B72" w:rsidP="005A0F2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6A4A539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9524A" w:rsidRPr="0059524A">
      <w:rPr>
        <w:rFonts w:cs="Arial"/>
        <w:noProof/>
        <w:sz w:val="16"/>
        <w:szCs w:val="16"/>
      </w:rPr>
      <w:t>Eylea-Eylea</w:t>
    </w:r>
    <w:r w:rsidR="0059524A">
      <w:rPr>
        <w:rFonts w:cs="Arial"/>
        <w:noProof/>
        <w:snapToGrid w:val="0"/>
        <w:color w:val="000000"/>
        <w:sz w:val="16"/>
        <w:szCs w:val="16"/>
      </w:rPr>
      <w:t xml:space="preserve"> HD and</w:t>
    </w:r>
    <w:r w:rsidR="0059524A" w:rsidRPr="0059524A">
      <w:rPr>
        <w:rFonts w:cs="Arial"/>
        <w:noProof/>
        <w:sz w:val="16"/>
        <w:szCs w:val="16"/>
      </w:rPr>
      <w:t xml:space="preserve"> Biosimilars</w:t>
    </w:r>
    <w:r w:rsidR="0059524A">
      <w:rPr>
        <w:rFonts w:cs="Arial"/>
        <w:noProof/>
        <w:snapToGrid w:val="0"/>
        <w:color w:val="000000"/>
        <w:sz w:val="16"/>
        <w:szCs w:val="16"/>
      </w:rPr>
      <w:t xml:space="preserve"> SGM 2024-A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CE5405">
      <w:rPr>
        <w:rFonts w:cs="Arial"/>
        <w:snapToGrid w:val="0"/>
        <w:color w:val="000000"/>
        <w:sz w:val="16"/>
      </w:rPr>
      <w:t xml:space="preserve">5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9BFE579" w14:textId="62EA04A0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B3F9F80" w:rsidR="00ED04EC" w:rsidRPr="00F50D98" w:rsidRDefault="00F50D98" w:rsidP="005A0F2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1FEB" w14:textId="77777777" w:rsidR="00E24B6A" w:rsidRPr="00EC47B6" w:rsidRDefault="00E24B6A" w:rsidP="00E24B6A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A26A8F">
      <w:rPr>
        <w:rFonts w:cs="Arial"/>
        <w:noProof/>
        <w:sz w:val="16"/>
        <w:szCs w:val="16"/>
      </w:rPr>
      <w:t>Eylea-Eylea</w:t>
    </w:r>
    <w:r>
      <w:rPr>
        <w:rFonts w:cs="Arial"/>
        <w:noProof/>
        <w:snapToGrid w:val="0"/>
        <w:color w:val="000000"/>
        <w:sz w:val="16"/>
        <w:szCs w:val="16"/>
      </w:rPr>
      <w:t xml:space="preserve"> HD SGM</w:t>
    </w:r>
    <w:r w:rsidRPr="00A26A8F">
      <w:rPr>
        <w:rFonts w:cs="Arial"/>
        <w:noProof/>
        <w:sz w:val="16"/>
        <w:szCs w:val="16"/>
      </w:rPr>
      <w:t xml:space="preserve"> 2024-A</w:t>
    </w:r>
    <w:r>
      <w:rPr>
        <w:rFonts w:cs="Arial"/>
        <w:noProof/>
        <w:snapToGrid w:val="0"/>
        <w:color w:val="000000"/>
        <w:sz w:val="16"/>
        <w:szCs w:val="16"/>
      </w:rPr>
      <w:t xml:space="preserve"> 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4D16746E" w14:textId="77777777" w:rsidR="00E24B6A" w:rsidRPr="00EC47B6" w:rsidRDefault="00E24B6A" w:rsidP="00E24B6A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06D1674" w14:textId="48431313" w:rsidR="000F5383" w:rsidRPr="00F50D98" w:rsidRDefault="00E24B6A" w:rsidP="005A0F2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7951F" w14:textId="77777777" w:rsidR="004C0428" w:rsidRDefault="004C0428">
      <w:r>
        <w:separator/>
      </w:r>
    </w:p>
  </w:footnote>
  <w:footnote w:type="continuationSeparator" w:id="0">
    <w:p w14:paraId="0D28CAA6" w14:textId="77777777" w:rsidR="004C0428" w:rsidRDefault="004C0428">
      <w:r>
        <w:continuationSeparator/>
      </w:r>
    </w:p>
  </w:footnote>
  <w:footnote w:type="continuationNotice" w:id="1">
    <w:p w14:paraId="35023D5D" w14:textId="77777777" w:rsidR="004C0428" w:rsidRDefault="004C04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3B1869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CA5FB8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CA5FB8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3B1869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BFAA8AE" w:rsidR="00510434" w:rsidRPr="00CA5FB8" w:rsidRDefault="00510434" w:rsidP="00ED04EC">
          <w:pPr>
            <w:pStyle w:val="Header"/>
            <w:rPr>
              <w:rFonts w:cs="Arial"/>
              <w:sz w:val="16"/>
              <w:szCs w:val="16"/>
            </w:rPr>
          </w:pPr>
          <w:r w:rsidRPr="00CA5FB8">
            <w:rPr>
              <w:rFonts w:cs="Arial"/>
              <w:sz w:val="16"/>
              <w:szCs w:val="16"/>
            </w:rPr>
            <w:t>2024-A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A5437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5336E687" w:rsidR="00A54373" w:rsidRPr="00FF66BF" w:rsidRDefault="00A54373" w:rsidP="00A54373">
          <w:pPr>
            <w:pStyle w:val="RefTableHeader"/>
          </w:pPr>
          <w:r>
            <w:rPr>
              <w:rFonts w:ascii="Arial" w:hAnsi="Arial"/>
            </w:rPr>
            <w:t>2024-A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BC3410"/>
    <w:multiLevelType w:val="hybridMultilevel"/>
    <w:tmpl w:val="56547050"/>
    <w:lvl w:ilvl="0" w:tplc="3AE4860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7F1B68"/>
    <w:multiLevelType w:val="hybridMultilevel"/>
    <w:tmpl w:val="1A22EF34"/>
    <w:lvl w:ilvl="0" w:tplc="40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>
      <w:start w:val="1"/>
      <w:numFmt w:val="upperLetter"/>
      <w:lvlText w:val="%2."/>
      <w:lvlJc w:val="left"/>
      <w:pPr>
        <w:ind w:left="570" w:hanging="1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15789D"/>
    <w:multiLevelType w:val="hybridMultilevel"/>
    <w:tmpl w:val="881AF61C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FFFFFFFF">
      <w:start w:val="1"/>
      <w:numFmt w:val="upperLetter"/>
      <w:lvlText w:val="%2."/>
      <w:lvlJc w:val="left"/>
      <w:pPr>
        <w:ind w:left="570" w:hanging="1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D0919"/>
    <w:multiLevelType w:val="hybridMultilevel"/>
    <w:tmpl w:val="1C44B19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6706E6A8">
      <w:start w:val="1"/>
      <w:numFmt w:val="upperLetter"/>
      <w:lvlText w:val="%2."/>
      <w:lvlJc w:val="left"/>
      <w:pPr>
        <w:ind w:left="570" w:hanging="1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224FB7"/>
    <w:multiLevelType w:val="hybridMultilevel"/>
    <w:tmpl w:val="4DC01834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FFFFFFFF">
      <w:start w:val="1"/>
      <w:numFmt w:val="upperLetter"/>
      <w:lvlText w:val="%2."/>
      <w:lvlJc w:val="left"/>
      <w:pPr>
        <w:ind w:left="570" w:hanging="1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C0915"/>
    <w:multiLevelType w:val="hybridMultilevel"/>
    <w:tmpl w:val="5B4E4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12A71"/>
    <w:multiLevelType w:val="hybridMultilevel"/>
    <w:tmpl w:val="B7C47152"/>
    <w:lvl w:ilvl="0" w:tplc="3AE486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07FF1"/>
    <w:multiLevelType w:val="hybridMultilevel"/>
    <w:tmpl w:val="CED43B1E"/>
    <w:lvl w:ilvl="0" w:tplc="96CE01C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55F3D"/>
    <w:multiLevelType w:val="hybridMultilevel"/>
    <w:tmpl w:val="D3EA413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562A6C"/>
    <w:multiLevelType w:val="hybridMultilevel"/>
    <w:tmpl w:val="55D2EE5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CA3ABB"/>
    <w:multiLevelType w:val="hybridMultilevel"/>
    <w:tmpl w:val="8FD089B4"/>
    <w:lvl w:ilvl="0" w:tplc="04090001">
      <w:start w:val="1"/>
      <w:numFmt w:val="bullet"/>
      <w:lvlText w:val=""/>
      <w:lvlJc w:val="left"/>
      <w:pPr>
        <w:ind w:left="8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1" w:hanging="360"/>
      </w:pPr>
      <w:rPr>
        <w:rFonts w:ascii="Wingdings" w:hAnsi="Wingdings" w:hint="default"/>
      </w:rPr>
    </w:lvl>
  </w:abstractNum>
  <w:abstractNum w:abstractNumId="36" w15:restartNumberingAfterBreak="0">
    <w:nsid w:val="6D7608DC"/>
    <w:multiLevelType w:val="hybridMultilevel"/>
    <w:tmpl w:val="125CB9F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7BF1CC8"/>
    <w:multiLevelType w:val="hybridMultilevel"/>
    <w:tmpl w:val="1C44B19E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upperLetter"/>
      <w:lvlText w:val="%2."/>
      <w:lvlJc w:val="left"/>
      <w:pPr>
        <w:ind w:left="570" w:hanging="1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14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3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3"/>
  </w:num>
  <w:num w:numId="3" w16cid:durableId="611589570">
    <w:abstractNumId w:val="2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38"/>
  </w:num>
  <w:num w:numId="18" w16cid:durableId="299724409">
    <w:abstractNumId w:val="30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9"/>
  </w:num>
  <w:num w:numId="22" w16cid:durableId="1472481103">
    <w:abstractNumId w:val="32"/>
  </w:num>
  <w:num w:numId="23" w16cid:durableId="1997420403">
    <w:abstractNumId w:val="34"/>
  </w:num>
  <w:num w:numId="24" w16cid:durableId="33312838">
    <w:abstractNumId w:val="31"/>
  </w:num>
  <w:num w:numId="25" w16cid:durableId="507404939">
    <w:abstractNumId w:val="20"/>
  </w:num>
  <w:num w:numId="26" w16cid:durableId="1950313333">
    <w:abstractNumId w:val="25"/>
  </w:num>
  <w:num w:numId="27" w16cid:durableId="1866016584">
    <w:abstractNumId w:val="23"/>
  </w:num>
  <w:num w:numId="28" w16cid:durableId="548608162">
    <w:abstractNumId w:val="18"/>
  </w:num>
  <w:num w:numId="29" w16cid:durableId="1534072039">
    <w:abstractNumId w:val="37"/>
  </w:num>
  <w:num w:numId="30" w16cid:durableId="1861236074">
    <w:abstractNumId w:val="28"/>
  </w:num>
  <w:num w:numId="31" w16cid:durableId="626400621">
    <w:abstractNumId w:val="13"/>
  </w:num>
  <w:num w:numId="32" w16cid:durableId="360596609">
    <w:abstractNumId w:val="26"/>
  </w:num>
  <w:num w:numId="33" w16cid:durableId="1761292261">
    <w:abstractNumId w:val="19"/>
  </w:num>
  <w:num w:numId="34" w16cid:durableId="1910845177">
    <w:abstractNumId w:val="15"/>
  </w:num>
  <w:num w:numId="35" w16cid:durableId="1837726509">
    <w:abstractNumId w:val="24"/>
  </w:num>
  <w:num w:numId="36" w16cid:durableId="470948318">
    <w:abstractNumId w:val="29"/>
  </w:num>
  <w:num w:numId="37" w16cid:durableId="30037348">
    <w:abstractNumId w:val="36"/>
  </w:num>
  <w:num w:numId="38" w16cid:durableId="1468890308">
    <w:abstractNumId w:val="22"/>
  </w:num>
  <w:num w:numId="39" w16cid:durableId="832599213">
    <w:abstractNumId w:val="35"/>
  </w:num>
  <w:num w:numId="40" w16cid:durableId="1285698026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6788A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078"/>
    <w:rsid w:val="001202DD"/>
    <w:rsid w:val="00121BD0"/>
    <w:rsid w:val="00121F7F"/>
    <w:rsid w:val="00122472"/>
    <w:rsid w:val="00123DD5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7C6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09E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0DC4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91E"/>
    <w:rsid w:val="002A3CC2"/>
    <w:rsid w:val="002A529C"/>
    <w:rsid w:val="002A58FA"/>
    <w:rsid w:val="002A6B25"/>
    <w:rsid w:val="002A6B4B"/>
    <w:rsid w:val="002A6CA0"/>
    <w:rsid w:val="002A70D8"/>
    <w:rsid w:val="002B045A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075E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41B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37A31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2EAC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869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4124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2D7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D80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428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16B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00D4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434"/>
    <w:rsid w:val="00511426"/>
    <w:rsid w:val="00511573"/>
    <w:rsid w:val="00512353"/>
    <w:rsid w:val="00512508"/>
    <w:rsid w:val="00513C29"/>
    <w:rsid w:val="00513FB7"/>
    <w:rsid w:val="00514A01"/>
    <w:rsid w:val="0051507F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2391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217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524A"/>
    <w:rsid w:val="00596960"/>
    <w:rsid w:val="005970A9"/>
    <w:rsid w:val="00597579"/>
    <w:rsid w:val="00597BF2"/>
    <w:rsid w:val="005A015C"/>
    <w:rsid w:val="005A04AA"/>
    <w:rsid w:val="005A09BB"/>
    <w:rsid w:val="005A0E43"/>
    <w:rsid w:val="005A0F2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A48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09E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212D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543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6F78FE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3744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442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5A0A"/>
    <w:rsid w:val="007C6BCC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575BD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497"/>
    <w:rsid w:val="00890CE6"/>
    <w:rsid w:val="00891958"/>
    <w:rsid w:val="00892A08"/>
    <w:rsid w:val="0089377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1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9DA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C1F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B2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86A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53D7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9C4"/>
    <w:rsid w:val="00A51EB0"/>
    <w:rsid w:val="00A52861"/>
    <w:rsid w:val="00A52A2C"/>
    <w:rsid w:val="00A54373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98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2F38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4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2D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AFE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27BA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206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A0A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9D3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CED"/>
    <w:rsid w:val="00CA1FC9"/>
    <w:rsid w:val="00CA22D7"/>
    <w:rsid w:val="00CA273C"/>
    <w:rsid w:val="00CA4298"/>
    <w:rsid w:val="00CA43AA"/>
    <w:rsid w:val="00CA59F7"/>
    <w:rsid w:val="00CA5FB8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5405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2503"/>
    <w:rsid w:val="00D1409F"/>
    <w:rsid w:val="00D14494"/>
    <w:rsid w:val="00D146DA"/>
    <w:rsid w:val="00D147DE"/>
    <w:rsid w:val="00D148E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23E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1A1C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81E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2FD8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4B6A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258A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28E9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67"/>
    <w:rsid w:val="00F01D9B"/>
    <w:rsid w:val="00F043C9"/>
    <w:rsid w:val="00F04FA6"/>
    <w:rsid w:val="00F0554B"/>
    <w:rsid w:val="00F07EE5"/>
    <w:rsid w:val="00F10609"/>
    <w:rsid w:val="00F10DAA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394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B7EC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D3FA9-39FF-41EF-AAF6-3AAC8AA840D9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574</Words>
  <Characters>3539</Characters>
  <Application>Microsoft Office Word</Application>
  <DocSecurity>0</DocSecurity>
  <Lines>76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>Eylea-Eylea HD 2024-A SGM 2024</vt:lpstr>
      <vt:lpstr>Specialty Guideline Management Eylea-Eylea HD</vt:lpstr>
      <vt:lpstr>    Products Referenced by this Document</vt:lpstr>
      <vt:lpstr>    Indications</vt:lpstr>
      <vt:lpstr>        FDA-approved Indications1,2,6,7,8,9,10</vt:lpstr>
      <vt:lpstr>    Coverage Criteria</vt:lpstr>
      <vt:lpstr>        Diabetic Macular Edema1,2,4,6-8,10</vt:lpstr>
      <vt:lpstr>        Diabetic Retinopathy1,2,4,6-8,10</vt:lpstr>
      <vt:lpstr>        Neovascular (Wet) Age-Related Macular Degeneration1-3,6-10</vt:lpstr>
      <vt:lpstr>        Macular Edema Following Retinal Vein Occlusion (Eylea and Biosimilars Only)1,5-8</vt:lpstr>
      <vt:lpstr>        Retinopathy of Prematurity (Eylea and Biosimilars Only)1</vt:lpstr>
      <vt:lpstr>    Continuation of Therapy</vt:lpstr>
      <vt:lpstr>    References</vt:lpstr>
      <vt:lpstr>    Document History</vt:lpstr>
    </vt:vector>
  </TitlesOfParts>
  <Company>PCS Health Systems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Eylea-Eylea HD and Biosimilars SGM 2024-A</dc:title>
  <dc:subject/>
  <dc:creator>CVS Caremark</dc:creator>
  <cp:keywords/>
  <cp:lastModifiedBy>Huerta, Linda M</cp:lastModifiedBy>
  <cp:revision>3</cp:revision>
  <cp:lastPrinted>2024-04-16T10:33:00Z</cp:lastPrinted>
  <dcterms:created xsi:type="dcterms:W3CDTF">2025-07-02T14:25:00Z</dcterms:created>
  <dcterms:modified xsi:type="dcterms:W3CDTF">2025-07-02T14:26:00Z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740500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